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BAA4" w14:textId="40C7B51A" w:rsidR="00E21B0A" w:rsidRPr="00FA6F3F" w:rsidRDefault="00E21B0A" w:rsidP="00E21B0A">
      <w:pPr>
        <w:pStyle w:val="NoSpacing"/>
        <w:rPr>
          <w:rFonts w:ascii="Cambria" w:hAnsi="Cambria"/>
          <w:color w:val="173A59"/>
          <w:sz w:val="20"/>
          <w:szCs w:val="20"/>
        </w:rPr>
      </w:pPr>
      <w:r>
        <w:rPr>
          <w:rFonts w:ascii="Cambria" w:hAnsi="Cambria"/>
          <w:color w:val="173A59"/>
          <w:sz w:val="24"/>
        </w:rPr>
        <w:tab/>
      </w:r>
      <w:r>
        <w:rPr>
          <w:rFonts w:ascii="Cambria" w:hAnsi="Cambria"/>
          <w:color w:val="173A59"/>
          <w:sz w:val="24"/>
        </w:rPr>
        <w:tab/>
      </w:r>
      <w:r>
        <w:rPr>
          <w:rFonts w:ascii="Cambria" w:hAnsi="Cambria"/>
          <w:color w:val="173A59"/>
          <w:sz w:val="24"/>
        </w:rPr>
        <w:tab/>
      </w:r>
      <w:r>
        <w:rPr>
          <w:rFonts w:ascii="Cambria" w:hAnsi="Cambria"/>
          <w:color w:val="173A59"/>
          <w:sz w:val="24"/>
        </w:rPr>
        <w:tab/>
      </w:r>
      <w:r>
        <w:rPr>
          <w:rFonts w:ascii="Cambria" w:hAnsi="Cambria"/>
          <w:color w:val="173A59"/>
          <w:sz w:val="24"/>
        </w:rPr>
        <w:tab/>
      </w:r>
      <w:r>
        <w:rPr>
          <w:rFonts w:ascii="Cambria" w:hAnsi="Cambria"/>
          <w:color w:val="173A59"/>
          <w:sz w:val="24"/>
        </w:rPr>
        <w:tab/>
      </w:r>
      <w:r>
        <w:rPr>
          <w:rFonts w:ascii="Cambria" w:hAnsi="Cambria"/>
          <w:color w:val="173A59"/>
          <w:sz w:val="24"/>
        </w:rPr>
        <w:tab/>
      </w:r>
      <w:r>
        <w:rPr>
          <w:rFonts w:ascii="Cambria" w:hAnsi="Cambria"/>
          <w:color w:val="173A59"/>
          <w:sz w:val="24"/>
        </w:rPr>
        <w:tab/>
      </w:r>
      <w:r>
        <w:rPr>
          <w:rFonts w:ascii="Cambria" w:hAnsi="Cambria"/>
          <w:color w:val="173A59"/>
          <w:sz w:val="24"/>
        </w:rPr>
        <w:tab/>
      </w:r>
      <w:r w:rsidRPr="00FA6F3F">
        <w:rPr>
          <w:rFonts w:ascii="Cambria" w:hAnsi="Cambria"/>
          <w:color w:val="173A59"/>
          <w:sz w:val="20"/>
          <w:szCs w:val="20"/>
        </w:rPr>
        <w:t>Ground Floor,</w:t>
      </w:r>
    </w:p>
    <w:p w14:paraId="618F069C" w14:textId="487B7A84" w:rsidR="00E21B0A" w:rsidRPr="00FA6F3F" w:rsidRDefault="00E21B0A" w:rsidP="00E21B0A">
      <w:pPr>
        <w:pStyle w:val="NoSpacing"/>
        <w:rPr>
          <w:rFonts w:ascii="Cambria" w:hAnsi="Cambria"/>
          <w:color w:val="173A59"/>
          <w:sz w:val="20"/>
          <w:szCs w:val="20"/>
        </w:rPr>
      </w:pPr>
      <w:r w:rsidRPr="00FA6F3F">
        <w:rPr>
          <w:rFonts w:ascii="Cambria" w:hAnsi="Cambria"/>
          <w:color w:val="173A59"/>
          <w:sz w:val="20"/>
          <w:szCs w:val="20"/>
        </w:rPr>
        <w:tab/>
      </w:r>
      <w:r w:rsidRPr="00FA6F3F">
        <w:rPr>
          <w:rFonts w:ascii="Cambria" w:hAnsi="Cambria"/>
          <w:color w:val="173A59"/>
          <w:sz w:val="20"/>
          <w:szCs w:val="20"/>
        </w:rPr>
        <w:tab/>
      </w:r>
      <w:r w:rsidRPr="00FA6F3F">
        <w:rPr>
          <w:rFonts w:ascii="Cambria" w:hAnsi="Cambria"/>
          <w:color w:val="173A59"/>
          <w:sz w:val="20"/>
          <w:szCs w:val="20"/>
        </w:rPr>
        <w:tab/>
      </w:r>
      <w:r w:rsidRPr="00FA6F3F">
        <w:rPr>
          <w:rFonts w:ascii="Cambria" w:hAnsi="Cambria"/>
          <w:color w:val="173A59"/>
          <w:sz w:val="20"/>
          <w:szCs w:val="20"/>
        </w:rPr>
        <w:tab/>
      </w:r>
      <w:r w:rsidRPr="00FA6F3F">
        <w:rPr>
          <w:rFonts w:ascii="Cambria" w:hAnsi="Cambria"/>
          <w:color w:val="173A59"/>
          <w:sz w:val="20"/>
          <w:szCs w:val="20"/>
        </w:rPr>
        <w:tab/>
      </w:r>
      <w:r w:rsidRPr="00FA6F3F">
        <w:rPr>
          <w:rFonts w:ascii="Cambria" w:hAnsi="Cambria"/>
          <w:color w:val="173A59"/>
          <w:sz w:val="20"/>
          <w:szCs w:val="20"/>
        </w:rPr>
        <w:tab/>
      </w:r>
      <w:r w:rsidRPr="00FA6F3F">
        <w:rPr>
          <w:rFonts w:ascii="Cambria" w:hAnsi="Cambria"/>
          <w:color w:val="173A59"/>
          <w:sz w:val="20"/>
          <w:szCs w:val="20"/>
        </w:rPr>
        <w:tab/>
      </w:r>
      <w:r w:rsidRPr="00FA6F3F">
        <w:rPr>
          <w:rFonts w:ascii="Cambria" w:hAnsi="Cambria"/>
          <w:color w:val="173A59"/>
          <w:sz w:val="20"/>
          <w:szCs w:val="20"/>
        </w:rPr>
        <w:tab/>
      </w:r>
      <w:r w:rsidRPr="00FA6F3F">
        <w:rPr>
          <w:rFonts w:ascii="Cambria" w:hAnsi="Cambria"/>
          <w:color w:val="173A59"/>
          <w:sz w:val="20"/>
          <w:szCs w:val="20"/>
        </w:rPr>
        <w:tab/>
        <w:t>Edinburgh Building,</w:t>
      </w:r>
    </w:p>
    <w:p w14:paraId="46FD7121" w14:textId="4417EC26" w:rsidR="00E21B0A" w:rsidRPr="00FA6F3F" w:rsidRDefault="00E21B0A" w:rsidP="00E21B0A">
      <w:pPr>
        <w:pStyle w:val="NoSpacing"/>
        <w:rPr>
          <w:rFonts w:ascii="Cambria" w:hAnsi="Cambria"/>
          <w:color w:val="173A59"/>
          <w:sz w:val="20"/>
          <w:szCs w:val="20"/>
        </w:rPr>
      </w:pPr>
      <w:r w:rsidRPr="00FA6F3F">
        <w:rPr>
          <w:rFonts w:ascii="Cambria" w:hAnsi="Cambria"/>
          <w:color w:val="173A59"/>
          <w:sz w:val="20"/>
          <w:szCs w:val="20"/>
        </w:rPr>
        <w:tab/>
      </w:r>
      <w:r w:rsidRPr="00FA6F3F">
        <w:rPr>
          <w:rFonts w:ascii="Cambria" w:hAnsi="Cambria"/>
          <w:color w:val="173A59"/>
          <w:sz w:val="20"/>
          <w:szCs w:val="20"/>
        </w:rPr>
        <w:tab/>
      </w:r>
      <w:r w:rsidRPr="00FA6F3F">
        <w:rPr>
          <w:rFonts w:ascii="Cambria" w:hAnsi="Cambria"/>
          <w:color w:val="173A59"/>
          <w:sz w:val="20"/>
          <w:szCs w:val="20"/>
        </w:rPr>
        <w:tab/>
      </w:r>
      <w:r w:rsidRPr="00FA6F3F">
        <w:rPr>
          <w:rFonts w:ascii="Cambria" w:hAnsi="Cambria"/>
          <w:color w:val="173A59"/>
          <w:sz w:val="20"/>
          <w:szCs w:val="20"/>
        </w:rPr>
        <w:tab/>
      </w:r>
      <w:r w:rsidRPr="00FA6F3F">
        <w:rPr>
          <w:rFonts w:ascii="Cambria" w:hAnsi="Cambria"/>
          <w:color w:val="173A59"/>
          <w:sz w:val="20"/>
          <w:szCs w:val="20"/>
        </w:rPr>
        <w:tab/>
      </w:r>
      <w:r w:rsidRPr="00FA6F3F">
        <w:rPr>
          <w:rFonts w:ascii="Cambria" w:hAnsi="Cambria"/>
          <w:color w:val="173A59"/>
          <w:sz w:val="20"/>
          <w:szCs w:val="20"/>
        </w:rPr>
        <w:tab/>
      </w:r>
      <w:r w:rsidRPr="00FA6F3F">
        <w:rPr>
          <w:rFonts w:ascii="Cambria" w:hAnsi="Cambria"/>
          <w:color w:val="173A59"/>
          <w:sz w:val="20"/>
          <w:szCs w:val="20"/>
        </w:rPr>
        <w:tab/>
      </w:r>
      <w:r w:rsidRPr="00FA6F3F">
        <w:rPr>
          <w:rFonts w:ascii="Cambria" w:hAnsi="Cambria"/>
          <w:color w:val="173A59"/>
          <w:sz w:val="20"/>
          <w:szCs w:val="20"/>
        </w:rPr>
        <w:tab/>
      </w:r>
      <w:r w:rsidRPr="00FA6F3F">
        <w:rPr>
          <w:rFonts w:ascii="Cambria" w:hAnsi="Cambria"/>
          <w:color w:val="173A59"/>
          <w:sz w:val="20"/>
          <w:szCs w:val="20"/>
        </w:rPr>
        <w:tab/>
        <w:t>City Campus,</w:t>
      </w:r>
    </w:p>
    <w:p w14:paraId="03E9CC65" w14:textId="77777777" w:rsidR="00E21B0A" w:rsidRPr="00FA6F3F" w:rsidRDefault="00E21B0A" w:rsidP="00E21B0A">
      <w:pPr>
        <w:pStyle w:val="NoSpacing"/>
        <w:ind w:left="5760" w:firstLine="720"/>
        <w:rPr>
          <w:rFonts w:ascii="Cambria" w:hAnsi="Cambria"/>
          <w:color w:val="173A59"/>
          <w:sz w:val="20"/>
          <w:szCs w:val="20"/>
        </w:rPr>
      </w:pPr>
      <w:r w:rsidRPr="00FA6F3F">
        <w:rPr>
          <w:rFonts w:ascii="Cambria" w:hAnsi="Cambria"/>
          <w:color w:val="173A59"/>
          <w:sz w:val="20"/>
          <w:szCs w:val="20"/>
        </w:rPr>
        <w:t>Chester Road,</w:t>
      </w:r>
    </w:p>
    <w:p w14:paraId="3B52E428" w14:textId="77777777" w:rsidR="00E21B0A" w:rsidRPr="00FA6F3F" w:rsidRDefault="00E21B0A" w:rsidP="00E21B0A">
      <w:pPr>
        <w:pStyle w:val="NoSpacing"/>
        <w:ind w:left="5760" w:firstLine="720"/>
        <w:rPr>
          <w:rFonts w:ascii="Cambria" w:hAnsi="Cambria"/>
          <w:color w:val="173A59"/>
          <w:sz w:val="20"/>
          <w:szCs w:val="20"/>
        </w:rPr>
      </w:pPr>
      <w:r w:rsidRPr="00FA6F3F">
        <w:rPr>
          <w:rFonts w:ascii="Cambria" w:hAnsi="Cambria"/>
          <w:color w:val="173A59"/>
          <w:sz w:val="20"/>
          <w:szCs w:val="20"/>
        </w:rPr>
        <w:t xml:space="preserve">Sunderland, </w:t>
      </w:r>
    </w:p>
    <w:p w14:paraId="7607A579" w14:textId="77777777" w:rsidR="00E21B0A" w:rsidRPr="00FA6F3F" w:rsidRDefault="00E21B0A" w:rsidP="00E21B0A">
      <w:pPr>
        <w:pStyle w:val="NoSpacing"/>
        <w:ind w:left="5760" w:firstLine="720"/>
        <w:rPr>
          <w:rFonts w:ascii="Cambria" w:hAnsi="Cambria"/>
          <w:color w:val="173A59"/>
          <w:sz w:val="20"/>
          <w:szCs w:val="20"/>
        </w:rPr>
      </w:pPr>
      <w:r w:rsidRPr="00FA6F3F">
        <w:rPr>
          <w:rFonts w:ascii="Cambria" w:hAnsi="Cambria"/>
          <w:color w:val="173A59"/>
          <w:sz w:val="20"/>
          <w:szCs w:val="20"/>
        </w:rPr>
        <w:t>SR1 3SD.</w:t>
      </w:r>
    </w:p>
    <w:p w14:paraId="1E641615" w14:textId="77777777" w:rsidR="00E21B0A" w:rsidRPr="00FA6F3F" w:rsidRDefault="00E21B0A" w:rsidP="00E21B0A">
      <w:pPr>
        <w:pStyle w:val="NoSpacing"/>
        <w:ind w:firstLine="720"/>
        <w:rPr>
          <w:rFonts w:ascii="Cambria" w:hAnsi="Cambria"/>
          <w:color w:val="173A59"/>
          <w:sz w:val="20"/>
          <w:szCs w:val="20"/>
        </w:rPr>
      </w:pPr>
    </w:p>
    <w:p w14:paraId="00AFF8AD" w14:textId="77777777" w:rsidR="00E21B0A" w:rsidRPr="00FA6F3F" w:rsidRDefault="00E21B0A" w:rsidP="00E21B0A">
      <w:pPr>
        <w:pStyle w:val="NoSpacing"/>
        <w:ind w:left="5760" w:firstLine="720"/>
        <w:rPr>
          <w:rFonts w:ascii="Cambria" w:hAnsi="Cambria"/>
          <w:color w:val="173A59"/>
          <w:sz w:val="20"/>
          <w:szCs w:val="20"/>
        </w:rPr>
      </w:pPr>
      <w:r w:rsidRPr="00FA6F3F">
        <w:rPr>
          <w:rFonts w:ascii="Cambria" w:hAnsi="Cambria"/>
          <w:color w:val="173A59"/>
          <w:sz w:val="20"/>
          <w:szCs w:val="20"/>
        </w:rPr>
        <w:t>t: (0191) 515 3030</w:t>
      </w:r>
    </w:p>
    <w:p w14:paraId="79E3BE8A" w14:textId="77777777" w:rsidR="00E21B0A" w:rsidRPr="00BE638E" w:rsidRDefault="00E21B0A" w:rsidP="00E21B0A">
      <w:pPr>
        <w:pStyle w:val="NoSpacing"/>
        <w:ind w:left="6480"/>
        <w:rPr>
          <w:rFonts w:ascii="Cambria" w:hAnsi="Cambria"/>
          <w:color w:val="173A59"/>
          <w:sz w:val="20"/>
          <w:szCs w:val="20"/>
        </w:rPr>
      </w:pPr>
      <w:r w:rsidRPr="04258017">
        <w:rPr>
          <w:rFonts w:ascii="Cambria" w:hAnsi="Cambria"/>
          <w:color w:val="173A59"/>
          <w:sz w:val="20"/>
          <w:szCs w:val="20"/>
        </w:rPr>
        <w:t>e: yoursu@sunderland.ac.uk</w:t>
      </w:r>
    </w:p>
    <w:p w14:paraId="3111AF18" w14:textId="77777777" w:rsidR="00E21B0A" w:rsidRDefault="00E21B0A" w:rsidP="00E21B0A">
      <w:pPr>
        <w:pStyle w:val="NoSpacing"/>
        <w:ind w:left="6480"/>
        <w:rPr>
          <w:rFonts w:ascii="Cambria" w:hAnsi="Cambria"/>
          <w:color w:val="173A59"/>
          <w:sz w:val="20"/>
          <w:szCs w:val="20"/>
        </w:rPr>
      </w:pPr>
      <w:r>
        <w:rPr>
          <w:rFonts w:ascii="Cambria" w:hAnsi="Cambria"/>
          <w:color w:val="173A59"/>
          <w:sz w:val="20"/>
          <w:szCs w:val="20"/>
        </w:rPr>
        <w:t>w</w:t>
      </w:r>
      <w:r w:rsidRPr="00FA6F3F">
        <w:rPr>
          <w:rFonts w:ascii="Cambria" w:hAnsi="Cambria"/>
          <w:color w:val="173A59"/>
          <w:sz w:val="20"/>
          <w:szCs w:val="20"/>
        </w:rPr>
        <w:t>: sunderland</w:t>
      </w:r>
      <w:r>
        <w:rPr>
          <w:rFonts w:ascii="Cambria" w:hAnsi="Cambria"/>
          <w:color w:val="173A59"/>
          <w:sz w:val="20"/>
          <w:szCs w:val="20"/>
        </w:rPr>
        <w:t>su.co.uk</w:t>
      </w:r>
    </w:p>
    <w:p w14:paraId="47C0DE2B" w14:textId="77777777" w:rsidR="00E21B0A" w:rsidRDefault="00E21B0A" w:rsidP="00E81367">
      <w:pPr>
        <w:rPr>
          <w:b/>
          <w:bCs/>
        </w:rPr>
      </w:pPr>
    </w:p>
    <w:p w14:paraId="2D740C90" w14:textId="77777777" w:rsidR="00E21B0A" w:rsidRDefault="00E21B0A" w:rsidP="00E81367">
      <w:pPr>
        <w:rPr>
          <w:b/>
          <w:bCs/>
        </w:rPr>
      </w:pPr>
    </w:p>
    <w:p w14:paraId="22BF970C" w14:textId="4D180491" w:rsidR="00E81367" w:rsidRPr="00E81367" w:rsidRDefault="00E81367" w:rsidP="00D77D15">
      <w:pPr>
        <w:jc w:val="both"/>
        <w:rPr>
          <w:b/>
          <w:bCs/>
        </w:rPr>
      </w:pPr>
      <w:r w:rsidRPr="00E81367">
        <w:rPr>
          <w:b/>
          <w:bCs/>
        </w:rPr>
        <w:t>Appointment of Board Secretary &amp; Company Secretary</w:t>
      </w:r>
    </w:p>
    <w:p w14:paraId="2B127A9B" w14:textId="77777777" w:rsidR="00E81367" w:rsidRPr="00E81367" w:rsidRDefault="00E81367" w:rsidP="00D77D15">
      <w:pPr>
        <w:jc w:val="both"/>
      </w:pPr>
      <w:r w:rsidRPr="00E81367">
        <w:rPr>
          <w:i/>
          <w:iCs/>
        </w:rPr>
        <w:t>(Clerk to the Board of Trustees)</w:t>
      </w:r>
    </w:p>
    <w:p w14:paraId="7EF65E94" w14:textId="77777777" w:rsidR="00E81367" w:rsidRPr="00E81367" w:rsidRDefault="00E81367" w:rsidP="00D77D15">
      <w:pPr>
        <w:jc w:val="both"/>
        <w:rPr>
          <w:b/>
          <w:bCs/>
        </w:rPr>
      </w:pPr>
      <w:r w:rsidRPr="00E81367">
        <w:rPr>
          <w:b/>
          <w:bCs/>
        </w:rPr>
        <w:t>Introduction</w:t>
      </w:r>
    </w:p>
    <w:p w14:paraId="4C973E8A" w14:textId="6E43DBCA" w:rsidR="00E81367" w:rsidRPr="00E81367" w:rsidRDefault="00E81367" w:rsidP="00D77D15">
      <w:pPr>
        <w:jc w:val="both"/>
      </w:pPr>
      <w:r w:rsidRPr="00E81367">
        <w:t xml:space="preserve">University of Sunderland Students’ Union is seeking to appoint an independent Board Secretary and Company Secretary to support the effective governance, </w:t>
      </w:r>
      <w:proofErr w:type="gramStart"/>
      <w:r w:rsidRPr="00E81367">
        <w:t>compliance</w:t>
      </w:r>
      <w:proofErr w:type="gramEnd"/>
      <w:r w:rsidRPr="00E81367">
        <w:t xml:space="preserve"> and assurance of the organisation.</w:t>
      </w:r>
      <w:r>
        <w:t xml:space="preserve"> </w:t>
      </w:r>
      <w:r w:rsidRPr="00E81367">
        <w:t>While prior students’ union experience is not essential, tenderers must demonstrate an understanding of the distinctive governance and democratic context in which students’ unions operate.</w:t>
      </w:r>
      <w:r>
        <w:t xml:space="preserve"> </w:t>
      </w:r>
    </w:p>
    <w:p w14:paraId="614707D3" w14:textId="77777777" w:rsidR="00E81367" w:rsidRPr="00E81367" w:rsidRDefault="00E81367" w:rsidP="00D77D15">
      <w:pPr>
        <w:jc w:val="both"/>
      </w:pPr>
      <w:r w:rsidRPr="00E81367">
        <w:t xml:space="preserve">The appointment </w:t>
      </w:r>
      <w:proofErr w:type="gramStart"/>
      <w:r w:rsidRPr="00E81367">
        <w:t>is offered</w:t>
      </w:r>
      <w:proofErr w:type="gramEnd"/>
      <w:r w:rsidRPr="00E81367">
        <w:t xml:space="preserve"> on a contract for services basis.</w:t>
      </w:r>
    </w:p>
    <w:p w14:paraId="623C406D" w14:textId="02E67E26" w:rsidR="00E81367" w:rsidRPr="00E81367" w:rsidRDefault="00E81367" w:rsidP="00D77D15">
      <w:pPr>
        <w:jc w:val="both"/>
      </w:pPr>
    </w:p>
    <w:p w14:paraId="3C808B63" w14:textId="77777777" w:rsidR="00E81367" w:rsidRPr="00E81367" w:rsidRDefault="00E81367" w:rsidP="00D77D15">
      <w:pPr>
        <w:jc w:val="both"/>
        <w:rPr>
          <w:b/>
          <w:bCs/>
        </w:rPr>
      </w:pPr>
      <w:r w:rsidRPr="00E81367">
        <w:rPr>
          <w:b/>
          <w:bCs/>
        </w:rPr>
        <w:t>Scope of Services</w:t>
      </w:r>
    </w:p>
    <w:p w14:paraId="2A1A0508" w14:textId="77777777" w:rsidR="00E81367" w:rsidRPr="00E81367" w:rsidRDefault="00E81367" w:rsidP="00D77D15">
      <w:pPr>
        <w:jc w:val="both"/>
      </w:pPr>
      <w:r w:rsidRPr="00E81367">
        <w:t>The role will provide support solely to the Board of Trustees, including:</w:t>
      </w:r>
    </w:p>
    <w:p w14:paraId="433FC46B" w14:textId="77777777" w:rsidR="00E81367" w:rsidRPr="00E81367" w:rsidRDefault="00E81367" w:rsidP="00D77D15">
      <w:pPr>
        <w:numPr>
          <w:ilvl w:val="0"/>
          <w:numId w:val="2"/>
        </w:numPr>
        <w:jc w:val="both"/>
      </w:pPr>
      <w:r w:rsidRPr="00E81367">
        <w:t>Attendance at all scheduled Board of Trustees meetings</w:t>
      </w:r>
    </w:p>
    <w:p w14:paraId="005F25C6" w14:textId="77777777" w:rsidR="00E81367" w:rsidRPr="00E81367" w:rsidRDefault="00E81367" w:rsidP="00D77D15">
      <w:pPr>
        <w:numPr>
          <w:ilvl w:val="0"/>
          <w:numId w:val="2"/>
        </w:numPr>
        <w:jc w:val="both"/>
      </w:pPr>
      <w:r w:rsidRPr="00E81367">
        <w:t>Preparation of agendas in consultation with the Chair and Chief Executive</w:t>
      </w:r>
    </w:p>
    <w:p w14:paraId="5D38DBCB" w14:textId="77777777" w:rsidR="00E81367" w:rsidRPr="00E81367" w:rsidRDefault="00E81367" w:rsidP="00D77D15">
      <w:pPr>
        <w:numPr>
          <w:ilvl w:val="0"/>
          <w:numId w:val="2"/>
        </w:numPr>
        <w:jc w:val="both"/>
      </w:pPr>
      <w:r w:rsidRPr="00E81367">
        <w:t>Procedural and governance advice during Board meetings</w:t>
      </w:r>
    </w:p>
    <w:p w14:paraId="6954E3CB" w14:textId="77777777" w:rsidR="00E81367" w:rsidRPr="00E81367" w:rsidRDefault="00E81367" w:rsidP="00D77D15">
      <w:pPr>
        <w:numPr>
          <w:ilvl w:val="0"/>
          <w:numId w:val="2"/>
        </w:numPr>
        <w:jc w:val="both"/>
      </w:pPr>
      <w:r w:rsidRPr="00E81367">
        <w:t>Production of clear, accurate, decision-focused minutes</w:t>
      </w:r>
    </w:p>
    <w:p w14:paraId="78B3E44B" w14:textId="77777777" w:rsidR="00E81367" w:rsidRPr="00E81367" w:rsidRDefault="00E81367" w:rsidP="00D77D15">
      <w:pPr>
        <w:numPr>
          <w:ilvl w:val="0"/>
          <w:numId w:val="2"/>
        </w:numPr>
        <w:jc w:val="both"/>
      </w:pPr>
      <w:r w:rsidRPr="00E81367">
        <w:t>Maintenance of Board action logs, decisions registers and governance calendars</w:t>
      </w:r>
    </w:p>
    <w:p w14:paraId="284A13A0" w14:textId="77777777" w:rsidR="00E81367" w:rsidRPr="00E81367" w:rsidRDefault="00E81367" w:rsidP="00D77D15">
      <w:pPr>
        <w:jc w:val="both"/>
      </w:pPr>
      <w:r w:rsidRPr="00E81367">
        <w:t>Committee support is explicitly out of scope for this role.</w:t>
      </w:r>
    </w:p>
    <w:p w14:paraId="3CDF96B3" w14:textId="5F821FE4" w:rsidR="00E81367" w:rsidRPr="00E81367" w:rsidRDefault="00E81367" w:rsidP="00D77D15">
      <w:pPr>
        <w:jc w:val="both"/>
      </w:pPr>
    </w:p>
    <w:p w14:paraId="68A525FE" w14:textId="77777777" w:rsidR="00E81367" w:rsidRPr="00E81367" w:rsidRDefault="00E81367" w:rsidP="00D77D15">
      <w:pPr>
        <w:jc w:val="both"/>
        <w:rPr>
          <w:b/>
          <w:bCs/>
        </w:rPr>
      </w:pPr>
      <w:r w:rsidRPr="00E81367">
        <w:rPr>
          <w:b/>
          <w:bCs/>
        </w:rPr>
        <w:t>Company Secretary Duties</w:t>
      </w:r>
    </w:p>
    <w:p w14:paraId="22AF80BB" w14:textId="77777777" w:rsidR="00E81367" w:rsidRPr="00E81367" w:rsidRDefault="00E81367" w:rsidP="00D77D15">
      <w:pPr>
        <w:jc w:val="both"/>
      </w:pPr>
      <w:r w:rsidRPr="00E81367">
        <w:t xml:space="preserve">The successful tenderer will formally </w:t>
      </w:r>
      <w:proofErr w:type="gramStart"/>
      <w:r w:rsidRPr="00E81367">
        <w:t>act as</w:t>
      </w:r>
      <w:proofErr w:type="gramEnd"/>
      <w:r w:rsidRPr="00E81367">
        <w:t xml:space="preserve"> Company Secretary and be responsible for:</w:t>
      </w:r>
    </w:p>
    <w:p w14:paraId="41EA3849" w14:textId="77777777" w:rsidR="00E81367" w:rsidRPr="00E81367" w:rsidRDefault="00E81367" w:rsidP="00D77D15">
      <w:pPr>
        <w:numPr>
          <w:ilvl w:val="0"/>
          <w:numId w:val="3"/>
        </w:numPr>
        <w:jc w:val="both"/>
      </w:pPr>
      <w:r w:rsidRPr="00E81367">
        <w:t>Ensuring compliance with charity law and regulatory requirements</w:t>
      </w:r>
    </w:p>
    <w:p w14:paraId="517E24C1" w14:textId="77777777" w:rsidR="00E81367" w:rsidRPr="00E81367" w:rsidRDefault="00E81367" w:rsidP="00D77D15">
      <w:pPr>
        <w:numPr>
          <w:ilvl w:val="0"/>
          <w:numId w:val="3"/>
        </w:numPr>
        <w:jc w:val="both"/>
      </w:pPr>
      <w:r w:rsidRPr="00E81367">
        <w:t>Maintaining statutory registers and records</w:t>
      </w:r>
    </w:p>
    <w:p w14:paraId="6F54F0F4" w14:textId="77777777" w:rsidR="00E81367" w:rsidRPr="00E81367" w:rsidRDefault="00E81367" w:rsidP="00D77D15">
      <w:pPr>
        <w:numPr>
          <w:ilvl w:val="0"/>
          <w:numId w:val="3"/>
        </w:numPr>
        <w:jc w:val="both"/>
      </w:pPr>
      <w:r w:rsidRPr="00E81367">
        <w:t>Managing Companies House and Charity Commission filings</w:t>
      </w:r>
    </w:p>
    <w:p w14:paraId="28ACAF9C" w14:textId="77777777" w:rsidR="00E81367" w:rsidRDefault="00E81367" w:rsidP="00D77D15">
      <w:pPr>
        <w:numPr>
          <w:ilvl w:val="0"/>
          <w:numId w:val="3"/>
        </w:numPr>
        <w:jc w:val="both"/>
      </w:pPr>
      <w:r w:rsidRPr="00E81367">
        <w:lastRenderedPageBreak/>
        <w:t>Advising trustees on duties, conflicts of interest and governance risk</w:t>
      </w:r>
    </w:p>
    <w:p w14:paraId="71A789CC" w14:textId="6DA9984A" w:rsidR="00DC51E4" w:rsidRPr="00E81367" w:rsidRDefault="00DC51E4" w:rsidP="00D77D15">
      <w:pPr>
        <w:numPr>
          <w:ilvl w:val="0"/>
          <w:numId w:val="3"/>
        </w:numPr>
        <w:jc w:val="both"/>
      </w:pPr>
      <w:proofErr w:type="gramStart"/>
      <w:r>
        <w:t>Liaise</w:t>
      </w:r>
      <w:proofErr w:type="gramEnd"/>
      <w:r>
        <w:t xml:space="preserve"> with key staff with governance responsibilities</w:t>
      </w:r>
    </w:p>
    <w:p w14:paraId="03D9CDF7" w14:textId="77777777" w:rsidR="00E81367" w:rsidRPr="00E81367" w:rsidRDefault="00E81367" w:rsidP="00D77D15">
      <w:pPr>
        <w:numPr>
          <w:ilvl w:val="0"/>
          <w:numId w:val="3"/>
        </w:numPr>
        <w:jc w:val="both"/>
      </w:pPr>
      <w:r w:rsidRPr="00E81367">
        <w:t>Supporting constitutional and governance changes</w:t>
      </w:r>
    </w:p>
    <w:p w14:paraId="55BF2B7C" w14:textId="77777777" w:rsidR="00E81367" w:rsidRPr="00E81367" w:rsidRDefault="00E81367" w:rsidP="00D77D15">
      <w:pPr>
        <w:numPr>
          <w:ilvl w:val="0"/>
          <w:numId w:val="3"/>
        </w:numPr>
        <w:jc w:val="both"/>
      </w:pPr>
      <w:r w:rsidRPr="00E81367">
        <w:t>Ensuring Board decisions are lawful, properly recorded and implemented</w:t>
      </w:r>
    </w:p>
    <w:p w14:paraId="21F41B13" w14:textId="1E0E4E7E" w:rsidR="00E81367" w:rsidRPr="00E81367" w:rsidRDefault="00E81367" w:rsidP="00D77D15">
      <w:pPr>
        <w:jc w:val="both"/>
      </w:pPr>
    </w:p>
    <w:p w14:paraId="2CBF7860" w14:textId="77777777" w:rsidR="00E81367" w:rsidRPr="00E81367" w:rsidRDefault="00E81367" w:rsidP="00D77D15">
      <w:pPr>
        <w:jc w:val="both"/>
        <w:rPr>
          <w:b/>
          <w:bCs/>
        </w:rPr>
      </w:pPr>
      <w:r w:rsidRPr="00E81367">
        <w:rPr>
          <w:b/>
          <w:bCs/>
        </w:rPr>
        <w:t>Relationship Boundaries</w:t>
      </w:r>
    </w:p>
    <w:p w14:paraId="4879D7DC" w14:textId="77777777" w:rsidR="00E81367" w:rsidRPr="00E81367" w:rsidRDefault="00E81367" w:rsidP="00D77D15">
      <w:pPr>
        <w:jc w:val="both"/>
      </w:pPr>
      <w:r w:rsidRPr="00E81367">
        <w:t>The Board Secretary &amp; Company Secretary will:</w:t>
      </w:r>
    </w:p>
    <w:p w14:paraId="055AFCB9" w14:textId="77777777" w:rsidR="00E81367" w:rsidRPr="00E81367" w:rsidRDefault="00E81367" w:rsidP="00D77D15">
      <w:pPr>
        <w:numPr>
          <w:ilvl w:val="0"/>
          <w:numId w:val="4"/>
        </w:numPr>
        <w:jc w:val="both"/>
      </w:pPr>
      <w:r w:rsidRPr="00E81367">
        <w:t>Be independent of the executive</w:t>
      </w:r>
    </w:p>
    <w:p w14:paraId="0E9E0AF8" w14:textId="77777777" w:rsidR="00E81367" w:rsidRDefault="00E81367" w:rsidP="00D77D15">
      <w:pPr>
        <w:numPr>
          <w:ilvl w:val="0"/>
          <w:numId w:val="4"/>
        </w:numPr>
        <w:jc w:val="both"/>
      </w:pPr>
      <w:r w:rsidRPr="00E81367">
        <w:t>Be accountable to the Board of Trustees</w:t>
      </w:r>
    </w:p>
    <w:p w14:paraId="3B676A16" w14:textId="4DA24F41" w:rsidR="00DC51E4" w:rsidRPr="00E81367" w:rsidRDefault="00DC51E4" w:rsidP="00D77D15">
      <w:pPr>
        <w:numPr>
          <w:ilvl w:val="0"/>
          <w:numId w:val="4"/>
        </w:numPr>
        <w:jc w:val="both"/>
      </w:pPr>
      <w:r>
        <w:t xml:space="preserve">Support the CEO and operational governance staff </w:t>
      </w:r>
      <w:r w:rsidR="00374AC4">
        <w:t>with board business</w:t>
      </w:r>
    </w:p>
    <w:p w14:paraId="601783B0" w14:textId="77777777" w:rsidR="00E81367" w:rsidRPr="00E81367" w:rsidRDefault="00E81367" w:rsidP="00D77D15">
      <w:pPr>
        <w:numPr>
          <w:ilvl w:val="0"/>
          <w:numId w:val="4"/>
        </w:numPr>
        <w:jc w:val="both"/>
      </w:pPr>
      <w:r w:rsidRPr="00E81367">
        <w:t>Not hold operational responsibility</w:t>
      </w:r>
    </w:p>
    <w:p w14:paraId="5A85407E" w14:textId="43F43AA4" w:rsidR="00E81367" w:rsidRPr="00E81367" w:rsidRDefault="00E81367" w:rsidP="00D77D15">
      <w:pPr>
        <w:numPr>
          <w:ilvl w:val="0"/>
          <w:numId w:val="4"/>
        </w:numPr>
        <w:jc w:val="both"/>
      </w:pPr>
      <w:r w:rsidRPr="00E81367">
        <w:t>Not provide committee clerking or operational support</w:t>
      </w:r>
    </w:p>
    <w:p w14:paraId="4508049B" w14:textId="25E5E807" w:rsidR="00E81367" w:rsidRPr="00E81367" w:rsidRDefault="00E81367" w:rsidP="00D77D15">
      <w:pPr>
        <w:jc w:val="both"/>
      </w:pPr>
    </w:p>
    <w:p w14:paraId="5FA583A6" w14:textId="77777777" w:rsidR="00E81367" w:rsidRPr="00E81367" w:rsidRDefault="00E81367" w:rsidP="00D77D15">
      <w:pPr>
        <w:jc w:val="both"/>
        <w:rPr>
          <w:b/>
          <w:bCs/>
        </w:rPr>
      </w:pPr>
      <w:r w:rsidRPr="00E81367">
        <w:rPr>
          <w:b/>
          <w:bCs/>
        </w:rPr>
        <w:t>Person Specification</w:t>
      </w:r>
    </w:p>
    <w:p w14:paraId="6BB8733C" w14:textId="77777777" w:rsidR="00E81367" w:rsidRPr="00E81367" w:rsidRDefault="00E81367" w:rsidP="00D77D15">
      <w:pPr>
        <w:jc w:val="both"/>
        <w:rPr>
          <w:b/>
          <w:bCs/>
        </w:rPr>
      </w:pPr>
      <w:r w:rsidRPr="00E81367">
        <w:rPr>
          <w:b/>
          <w:bCs/>
        </w:rPr>
        <w:t>Essential</w:t>
      </w:r>
    </w:p>
    <w:p w14:paraId="1E29AF46" w14:textId="77777777" w:rsidR="00E81367" w:rsidRPr="00E81367" w:rsidRDefault="00E81367" w:rsidP="00D77D15">
      <w:pPr>
        <w:numPr>
          <w:ilvl w:val="0"/>
          <w:numId w:val="5"/>
        </w:numPr>
        <w:jc w:val="both"/>
      </w:pPr>
      <w:r w:rsidRPr="00E81367">
        <w:t>Proven experience acting as Company Secretary in a charity or regulated organisation</w:t>
      </w:r>
    </w:p>
    <w:p w14:paraId="4035C840" w14:textId="77777777" w:rsidR="00E81367" w:rsidRPr="00E81367" w:rsidRDefault="00E81367" w:rsidP="00D77D15">
      <w:pPr>
        <w:numPr>
          <w:ilvl w:val="0"/>
          <w:numId w:val="5"/>
        </w:numPr>
        <w:jc w:val="both"/>
      </w:pPr>
      <w:r w:rsidRPr="00E81367">
        <w:t>Experience supporting trustee-level Boards</w:t>
      </w:r>
    </w:p>
    <w:p w14:paraId="6A502573" w14:textId="77777777" w:rsidR="00E81367" w:rsidRPr="00E81367" w:rsidRDefault="00E81367" w:rsidP="00D77D15">
      <w:pPr>
        <w:numPr>
          <w:ilvl w:val="0"/>
          <w:numId w:val="5"/>
        </w:numPr>
        <w:jc w:val="both"/>
      </w:pPr>
      <w:r w:rsidRPr="00E81367">
        <w:t xml:space="preserve">Strong knowledge of charity law, trustee </w:t>
      </w:r>
      <w:proofErr w:type="gramStart"/>
      <w:r w:rsidRPr="00E81367">
        <w:t>duties</w:t>
      </w:r>
      <w:proofErr w:type="gramEnd"/>
      <w:r w:rsidRPr="00E81367">
        <w:t xml:space="preserve"> and governance best practice</w:t>
      </w:r>
    </w:p>
    <w:p w14:paraId="1FB9A3B1" w14:textId="77777777" w:rsidR="00E81367" w:rsidRPr="00E81367" w:rsidRDefault="00E81367" w:rsidP="00D77D15">
      <w:pPr>
        <w:numPr>
          <w:ilvl w:val="0"/>
          <w:numId w:val="5"/>
        </w:numPr>
        <w:jc w:val="both"/>
      </w:pPr>
      <w:r w:rsidRPr="00E81367">
        <w:t>Ability to produce high-quality, decision-focused minutes</w:t>
      </w:r>
    </w:p>
    <w:p w14:paraId="2FC97AE5" w14:textId="77777777" w:rsidR="00E81367" w:rsidRPr="00E81367" w:rsidRDefault="00E81367" w:rsidP="00D77D15">
      <w:pPr>
        <w:numPr>
          <w:ilvl w:val="0"/>
          <w:numId w:val="5"/>
        </w:numPr>
        <w:jc w:val="both"/>
      </w:pPr>
      <w:r w:rsidRPr="00E81367">
        <w:t xml:space="preserve">Professional independence, </w:t>
      </w:r>
      <w:proofErr w:type="gramStart"/>
      <w:r w:rsidRPr="00E81367">
        <w:t>discretion</w:t>
      </w:r>
      <w:proofErr w:type="gramEnd"/>
      <w:r w:rsidRPr="00E81367">
        <w:t xml:space="preserve"> and sound judgement</w:t>
      </w:r>
    </w:p>
    <w:p w14:paraId="66F1EAC5" w14:textId="77777777" w:rsidR="00D77D15" w:rsidRDefault="00D77D15" w:rsidP="00D77D15">
      <w:pPr>
        <w:jc w:val="both"/>
        <w:rPr>
          <w:b/>
          <w:bCs/>
        </w:rPr>
      </w:pPr>
    </w:p>
    <w:p w14:paraId="5F7C6281" w14:textId="24B24AF2" w:rsidR="00E81367" w:rsidRPr="00E81367" w:rsidRDefault="00E81367" w:rsidP="00D77D15">
      <w:pPr>
        <w:jc w:val="both"/>
        <w:rPr>
          <w:b/>
          <w:bCs/>
        </w:rPr>
      </w:pPr>
      <w:r w:rsidRPr="00E81367">
        <w:rPr>
          <w:b/>
          <w:bCs/>
        </w:rPr>
        <w:t>Desirable</w:t>
      </w:r>
    </w:p>
    <w:p w14:paraId="41DBDB5C" w14:textId="77777777" w:rsidR="00E81367" w:rsidRPr="00E81367" w:rsidRDefault="00E81367" w:rsidP="00D77D15">
      <w:pPr>
        <w:numPr>
          <w:ilvl w:val="0"/>
          <w:numId w:val="6"/>
        </w:numPr>
        <w:jc w:val="both"/>
      </w:pPr>
      <w:r w:rsidRPr="00E81367">
        <w:t>Experience working with a students’ union or democratic membership organisation</w:t>
      </w:r>
    </w:p>
    <w:p w14:paraId="2A7B32DD" w14:textId="77777777" w:rsidR="00E81367" w:rsidRPr="00E81367" w:rsidRDefault="00E81367" w:rsidP="00D77D15">
      <w:pPr>
        <w:numPr>
          <w:ilvl w:val="0"/>
          <w:numId w:val="6"/>
        </w:numPr>
        <w:jc w:val="both"/>
      </w:pPr>
      <w:r w:rsidRPr="00E81367">
        <w:t>CGI / ICSA or equivalent governance qualification</w:t>
      </w:r>
    </w:p>
    <w:p w14:paraId="535B04FA" w14:textId="77777777" w:rsidR="00E81367" w:rsidRPr="00E81367" w:rsidRDefault="00E81367" w:rsidP="00D77D15">
      <w:pPr>
        <w:numPr>
          <w:ilvl w:val="0"/>
          <w:numId w:val="6"/>
        </w:numPr>
        <w:jc w:val="both"/>
      </w:pPr>
      <w:r w:rsidRPr="00E81367">
        <w:t>Experience supporting organisations through change or transition</w:t>
      </w:r>
    </w:p>
    <w:p w14:paraId="65DAC99A" w14:textId="00032D7D" w:rsidR="00E81367" w:rsidRDefault="00E81367" w:rsidP="00D77D15">
      <w:pPr>
        <w:jc w:val="both"/>
      </w:pPr>
    </w:p>
    <w:p w14:paraId="6706A569" w14:textId="77777777" w:rsidR="00E21B0A" w:rsidRDefault="00E21B0A" w:rsidP="00D77D15">
      <w:pPr>
        <w:jc w:val="both"/>
      </w:pPr>
    </w:p>
    <w:p w14:paraId="1DC334CB" w14:textId="77777777" w:rsidR="00E21B0A" w:rsidRDefault="00E21B0A" w:rsidP="00D77D15">
      <w:pPr>
        <w:jc w:val="both"/>
      </w:pPr>
    </w:p>
    <w:p w14:paraId="15751089" w14:textId="77777777" w:rsidR="00E81367" w:rsidRPr="00E81367" w:rsidRDefault="00E81367" w:rsidP="00D77D15">
      <w:pPr>
        <w:jc w:val="both"/>
        <w:rPr>
          <w:b/>
          <w:bCs/>
        </w:rPr>
      </w:pPr>
      <w:r w:rsidRPr="00E81367">
        <w:rPr>
          <w:b/>
          <w:bCs/>
        </w:rPr>
        <w:lastRenderedPageBreak/>
        <w:t>Procurement Instructions</w:t>
      </w:r>
    </w:p>
    <w:p w14:paraId="47080759" w14:textId="77777777" w:rsidR="00E81367" w:rsidRPr="00E81367" w:rsidRDefault="00E81367" w:rsidP="00D77D15">
      <w:pPr>
        <w:jc w:val="both"/>
        <w:rPr>
          <w:b/>
          <w:bCs/>
        </w:rPr>
      </w:pPr>
      <w:r w:rsidRPr="00E81367">
        <w:rPr>
          <w:b/>
          <w:bCs/>
        </w:rPr>
        <w:t>Submission</w:t>
      </w:r>
    </w:p>
    <w:p w14:paraId="1A0EC849" w14:textId="77777777" w:rsidR="00E81367" w:rsidRPr="00E81367" w:rsidRDefault="00E81367" w:rsidP="00D77D15">
      <w:pPr>
        <w:jc w:val="both"/>
      </w:pPr>
      <w:r w:rsidRPr="00E81367">
        <w:t xml:space="preserve">Tenderers </w:t>
      </w:r>
      <w:proofErr w:type="gramStart"/>
      <w:r w:rsidRPr="00E81367">
        <w:t>are invited</w:t>
      </w:r>
      <w:proofErr w:type="gramEnd"/>
      <w:r w:rsidRPr="00E81367">
        <w:t xml:space="preserve"> to submit a written proposal setting out how they will deliver the requirements of this Invitation to Tender.</w:t>
      </w:r>
    </w:p>
    <w:p w14:paraId="44266206" w14:textId="77777777" w:rsidR="00E81367" w:rsidRPr="00E81367" w:rsidRDefault="00E81367" w:rsidP="00D77D15">
      <w:pPr>
        <w:jc w:val="both"/>
      </w:pPr>
      <w:r w:rsidRPr="00E81367">
        <w:t xml:space="preserve">Submissions must </w:t>
      </w:r>
      <w:proofErr w:type="gramStart"/>
      <w:r w:rsidRPr="00E81367">
        <w:t>be provided</w:t>
      </w:r>
      <w:proofErr w:type="gramEnd"/>
      <w:r w:rsidRPr="00E81367">
        <w:t xml:space="preserve"> electronically in Word or PDF format and should include:</w:t>
      </w:r>
    </w:p>
    <w:p w14:paraId="0F8B614A" w14:textId="77777777" w:rsidR="00E81367" w:rsidRPr="00E81367" w:rsidRDefault="00E81367" w:rsidP="00D77D15">
      <w:pPr>
        <w:numPr>
          <w:ilvl w:val="0"/>
          <w:numId w:val="7"/>
        </w:numPr>
        <w:jc w:val="both"/>
      </w:pPr>
      <w:r w:rsidRPr="00E81367">
        <w:t xml:space="preserve">Organisational profile or individual </w:t>
      </w:r>
      <w:proofErr w:type="gramStart"/>
      <w:r w:rsidRPr="00E81367">
        <w:t>CV</w:t>
      </w:r>
      <w:proofErr w:type="gramEnd"/>
    </w:p>
    <w:p w14:paraId="712016F1" w14:textId="77777777" w:rsidR="00E81367" w:rsidRPr="00E81367" w:rsidRDefault="00E81367" w:rsidP="00D77D15">
      <w:pPr>
        <w:numPr>
          <w:ilvl w:val="0"/>
          <w:numId w:val="7"/>
        </w:numPr>
        <w:jc w:val="both"/>
      </w:pPr>
      <w:r w:rsidRPr="00E81367">
        <w:t>Relevant experience, including acting as Company Secretary</w:t>
      </w:r>
    </w:p>
    <w:p w14:paraId="771D0B31" w14:textId="77777777" w:rsidR="00E81367" w:rsidRPr="00E81367" w:rsidRDefault="00E81367" w:rsidP="00D77D15">
      <w:pPr>
        <w:numPr>
          <w:ilvl w:val="0"/>
          <w:numId w:val="7"/>
        </w:numPr>
        <w:jc w:val="both"/>
      </w:pPr>
      <w:r w:rsidRPr="00E81367">
        <w:t xml:space="preserve">Proposed approach to delivering the role (maximum </w:t>
      </w:r>
      <w:proofErr w:type="gramStart"/>
      <w:r w:rsidRPr="00E81367">
        <w:t>2</w:t>
      </w:r>
      <w:proofErr w:type="gramEnd"/>
      <w:r w:rsidRPr="00E81367">
        <w:t xml:space="preserve"> pages)</w:t>
      </w:r>
    </w:p>
    <w:p w14:paraId="30434984" w14:textId="77777777" w:rsidR="00E81367" w:rsidRPr="00E81367" w:rsidRDefault="00E81367" w:rsidP="00D77D15">
      <w:pPr>
        <w:numPr>
          <w:ilvl w:val="0"/>
          <w:numId w:val="7"/>
        </w:numPr>
        <w:jc w:val="both"/>
      </w:pPr>
      <w:r w:rsidRPr="00E81367">
        <w:t>Availability and capacity</w:t>
      </w:r>
    </w:p>
    <w:p w14:paraId="20682A64" w14:textId="77777777" w:rsidR="00E81367" w:rsidRPr="00E81367" w:rsidRDefault="00E81367" w:rsidP="00D77D15">
      <w:pPr>
        <w:numPr>
          <w:ilvl w:val="0"/>
          <w:numId w:val="7"/>
        </w:numPr>
        <w:jc w:val="both"/>
      </w:pPr>
      <w:r w:rsidRPr="00E81367">
        <w:t>Pricing structure, including any additional or optional costs</w:t>
      </w:r>
    </w:p>
    <w:p w14:paraId="572F0536" w14:textId="77777777" w:rsidR="00E81367" w:rsidRPr="00E81367" w:rsidRDefault="00E81367" w:rsidP="00D77D15">
      <w:pPr>
        <w:numPr>
          <w:ilvl w:val="0"/>
          <w:numId w:val="7"/>
        </w:numPr>
        <w:jc w:val="both"/>
      </w:pPr>
      <w:r w:rsidRPr="00E81367">
        <w:t>Details of two governance-related referees</w:t>
      </w:r>
    </w:p>
    <w:p w14:paraId="4CA30706" w14:textId="77777777" w:rsidR="00D77D15" w:rsidRDefault="00D77D15" w:rsidP="00D77D15"/>
    <w:p w14:paraId="72249F4C" w14:textId="718A8391" w:rsidR="00E81367" w:rsidRPr="00D77D15" w:rsidRDefault="00E81367" w:rsidP="00D77D15">
      <w:r w:rsidRPr="00E81367">
        <w:t>Submissions should be sent to:</w:t>
      </w:r>
      <w:r>
        <w:t xml:space="preserve"> </w:t>
      </w:r>
      <w:hyperlink r:id="rId5" w:history="1">
        <w:r w:rsidRPr="00D6189C">
          <w:rPr>
            <w:rStyle w:val="Hyperlink"/>
          </w:rPr>
          <w:t>yoursugovernance@sunderland.ac.uk</w:t>
        </w:r>
      </w:hyperlink>
      <w:r>
        <w:t xml:space="preserve"> </w:t>
      </w:r>
      <w:r w:rsidRPr="00E81367">
        <w:br/>
      </w:r>
      <w:r w:rsidRPr="00D77D15">
        <w:t>Clarification questions can be submitted until Friday 13</w:t>
      </w:r>
      <w:r w:rsidRPr="00D77D15">
        <w:rPr>
          <w:vertAlign w:val="superscript"/>
        </w:rPr>
        <w:t>th</w:t>
      </w:r>
      <w:r w:rsidRPr="00D77D15">
        <w:t xml:space="preserve"> February, all tenderers will receive a copy of the responses to any clarification questions submitted. </w:t>
      </w:r>
    </w:p>
    <w:p w14:paraId="185DCFB7" w14:textId="77777777" w:rsidR="00E21B0A" w:rsidRDefault="00E21B0A" w:rsidP="00D77D15">
      <w:pPr>
        <w:jc w:val="both"/>
        <w:rPr>
          <w:b/>
          <w:bCs/>
        </w:rPr>
      </w:pPr>
    </w:p>
    <w:p w14:paraId="4C42F86B" w14:textId="5463EBE7" w:rsidR="00E81367" w:rsidRPr="00E81367" w:rsidRDefault="00E81367" w:rsidP="00D77D15">
      <w:pPr>
        <w:jc w:val="both"/>
        <w:rPr>
          <w:b/>
          <w:bCs/>
        </w:rPr>
      </w:pPr>
      <w:r w:rsidRPr="00E81367">
        <w:rPr>
          <w:b/>
          <w:bCs/>
        </w:rPr>
        <w:t>Procurement Timetable</w:t>
      </w:r>
    </w:p>
    <w:p w14:paraId="4041068D" w14:textId="77777777" w:rsidR="00E81367" w:rsidRPr="00E81367" w:rsidRDefault="00E81367" w:rsidP="00D77D15">
      <w:pPr>
        <w:jc w:val="both"/>
      </w:pPr>
      <w:r w:rsidRPr="00E81367">
        <w:t>The indicative timetable for this procurement is set out below. University of Sunderland Students’ Union reserves the right to amend this timetable at its discretion.</w:t>
      </w:r>
    </w:p>
    <w:p w14:paraId="19A5155C" w14:textId="77777777" w:rsidR="00E81367" w:rsidRPr="00E81367" w:rsidRDefault="00E81367" w:rsidP="00D77D15">
      <w:pPr>
        <w:numPr>
          <w:ilvl w:val="0"/>
          <w:numId w:val="8"/>
        </w:numPr>
        <w:jc w:val="both"/>
      </w:pPr>
      <w:r w:rsidRPr="00E81367">
        <w:t>ITT issued: w/c Monday 2 February 2026</w:t>
      </w:r>
    </w:p>
    <w:p w14:paraId="6D311E7F" w14:textId="77777777" w:rsidR="00E81367" w:rsidRPr="00E81367" w:rsidRDefault="00E81367" w:rsidP="00D77D15">
      <w:pPr>
        <w:numPr>
          <w:ilvl w:val="0"/>
          <w:numId w:val="8"/>
        </w:numPr>
        <w:jc w:val="both"/>
      </w:pPr>
      <w:r w:rsidRPr="00E81367">
        <w:t>Deadline for clarification questions: Friday 13 February 2026</w:t>
      </w:r>
    </w:p>
    <w:p w14:paraId="106BD132" w14:textId="2687809E" w:rsidR="00E81367" w:rsidRPr="00E81367" w:rsidRDefault="00E81367" w:rsidP="00D77D15">
      <w:pPr>
        <w:numPr>
          <w:ilvl w:val="0"/>
          <w:numId w:val="8"/>
        </w:numPr>
        <w:jc w:val="both"/>
      </w:pPr>
      <w:r w:rsidRPr="00E81367">
        <w:t xml:space="preserve">Submission deadline: </w:t>
      </w:r>
      <w:r>
        <w:t>Friday</w:t>
      </w:r>
      <w:r w:rsidRPr="00E81367">
        <w:t xml:space="preserve"> 20 February 2026 (12:00 noon)</w:t>
      </w:r>
    </w:p>
    <w:p w14:paraId="134523BD" w14:textId="77777777" w:rsidR="00E81367" w:rsidRPr="00E81367" w:rsidRDefault="00E81367" w:rsidP="00D77D15">
      <w:pPr>
        <w:numPr>
          <w:ilvl w:val="0"/>
          <w:numId w:val="8"/>
        </w:numPr>
        <w:jc w:val="both"/>
      </w:pPr>
      <w:r w:rsidRPr="00E81367">
        <w:t>Shortlisting and evaluation: w/c Monday 23 February 2026</w:t>
      </w:r>
    </w:p>
    <w:p w14:paraId="5E78C274" w14:textId="77777777" w:rsidR="00E81367" w:rsidRPr="00E81367" w:rsidRDefault="00E81367" w:rsidP="00D77D15">
      <w:pPr>
        <w:numPr>
          <w:ilvl w:val="0"/>
          <w:numId w:val="8"/>
        </w:numPr>
        <w:jc w:val="both"/>
      </w:pPr>
      <w:r w:rsidRPr="00E81367">
        <w:t>Interview invitations issued: Monday 2 March 2026</w:t>
      </w:r>
    </w:p>
    <w:p w14:paraId="59C8D034" w14:textId="77777777" w:rsidR="00E81367" w:rsidRPr="00E81367" w:rsidRDefault="00E81367" w:rsidP="00D77D15">
      <w:pPr>
        <w:numPr>
          <w:ilvl w:val="0"/>
          <w:numId w:val="8"/>
        </w:numPr>
        <w:jc w:val="both"/>
      </w:pPr>
      <w:r w:rsidRPr="00E81367">
        <w:t>Interviews: Monday 9 March 2026</w:t>
      </w:r>
    </w:p>
    <w:p w14:paraId="07E84298" w14:textId="77777777" w:rsidR="00E81367" w:rsidRPr="00E81367" w:rsidRDefault="00E81367" w:rsidP="00D77D15">
      <w:pPr>
        <w:numPr>
          <w:ilvl w:val="0"/>
          <w:numId w:val="8"/>
        </w:numPr>
        <w:jc w:val="both"/>
      </w:pPr>
      <w:r w:rsidRPr="00E81367">
        <w:t>Appointment confirmed: By Friday 13 March 2026</w:t>
      </w:r>
    </w:p>
    <w:p w14:paraId="744F83AD" w14:textId="33EE0BB8" w:rsidR="00E81367" w:rsidRDefault="00E81367" w:rsidP="00D77D15">
      <w:pPr>
        <w:jc w:val="both"/>
      </w:pPr>
    </w:p>
    <w:p w14:paraId="016F7807" w14:textId="77777777" w:rsidR="00D77D15" w:rsidRDefault="00D77D15" w:rsidP="00D77D15">
      <w:pPr>
        <w:jc w:val="both"/>
      </w:pPr>
    </w:p>
    <w:p w14:paraId="6D928A86" w14:textId="77777777" w:rsidR="00D77D15" w:rsidRDefault="00D77D15" w:rsidP="00D77D15">
      <w:pPr>
        <w:jc w:val="both"/>
      </w:pPr>
    </w:p>
    <w:p w14:paraId="08349657" w14:textId="77777777" w:rsidR="00D77D15" w:rsidRDefault="00D77D15" w:rsidP="00D77D15">
      <w:pPr>
        <w:jc w:val="both"/>
      </w:pPr>
    </w:p>
    <w:p w14:paraId="745CBC57" w14:textId="77777777" w:rsidR="00D77D15" w:rsidRPr="00E81367" w:rsidRDefault="00D77D15" w:rsidP="00D77D15">
      <w:pPr>
        <w:jc w:val="both"/>
      </w:pPr>
    </w:p>
    <w:p w14:paraId="297B8879" w14:textId="77777777" w:rsidR="00E81367" w:rsidRPr="00E81367" w:rsidRDefault="00E81367" w:rsidP="00D77D15">
      <w:pPr>
        <w:jc w:val="both"/>
        <w:rPr>
          <w:b/>
          <w:bCs/>
        </w:rPr>
      </w:pPr>
      <w:r w:rsidRPr="00E81367">
        <w:rPr>
          <w:b/>
          <w:bCs/>
        </w:rPr>
        <w:t>Evaluation Criteria</w:t>
      </w:r>
    </w:p>
    <w:p w14:paraId="032F50EB" w14:textId="77777777" w:rsidR="00E81367" w:rsidRPr="00E81367" w:rsidRDefault="00E81367" w:rsidP="00D77D15">
      <w:pPr>
        <w:jc w:val="both"/>
      </w:pPr>
      <w:r w:rsidRPr="00E81367">
        <w:t>Tenders will be evaluated against the following criteria:</w:t>
      </w:r>
    </w:p>
    <w:p w14:paraId="493FFB5F" w14:textId="77777777" w:rsidR="00E81367" w:rsidRPr="00E81367" w:rsidRDefault="00E81367" w:rsidP="00D77D15">
      <w:pPr>
        <w:numPr>
          <w:ilvl w:val="0"/>
          <w:numId w:val="9"/>
        </w:numPr>
        <w:jc w:val="both"/>
      </w:pPr>
      <w:r w:rsidRPr="00E81367">
        <w:t>Company Secretary and governance experience – 40%</w:t>
      </w:r>
    </w:p>
    <w:p w14:paraId="369B479A" w14:textId="77777777" w:rsidR="00E81367" w:rsidRPr="00E81367" w:rsidRDefault="00E81367" w:rsidP="00D77D15">
      <w:pPr>
        <w:numPr>
          <w:ilvl w:val="0"/>
          <w:numId w:val="9"/>
        </w:numPr>
        <w:jc w:val="both"/>
      </w:pPr>
      <w:r w:rsidRPr="00E81367">
        <w:t>Quality of proposed approach – 25%</w:t>
      </w:r>
    </w:p>
    <w:p w14:paraId="7E16B27D" w14:textId="77777777" w:rsidR="00E81367" w:rsidRPr="00E81367" w:rsidRDefault="00E81367" w:rsidP="00D77D15">
      <w:pPr>
        <w:numPr>
          <w:ilvl w:val="0"/>
          <w:numId w:val="9"/>
        </w:numPr>
        <w:jc w:val="both"/>
      </w:pPr>
      <w:r w:rsidRPr="00E81367">
        <w:t>Charity governance and compliance knowledge – 20%</w:t>
      </w:r>
    </w:p>
    <w:p w14:paraId="47CA538E" w14:textId="77777777" w:rsidR="00E81367" w:rsidRPr="00E81367" w:rsidRDefault="00E81367" w:rsidP="00D77D15">
      <w:pPr>
        <w:numPr>
          <w:ilvl w:val="0"/>
          <w:numId w:val="9"/>
        </w:numPr>
        <w:jc w:val="both"/>
      </w:pPr>
      <w:r w:rsidRPr="00E81367">
        <w:t>Understanding of students’ unions and democratic governance – 10%</w:t>
      </w:r>
    </w:p>
    <w:p w14:paraId="37F44906" w14:textId="77777777" w:rsidR="00E81367" w:rsidRPr="00E81367" w:rsidRDefault="00E81367" w:rsidP="00D77D15">
      <w:pPr>
        <w:numPr>
          <w:ilvl w:val="0"/>
          <w:numId w:val="9"/>
        </w:numPr>
        <w:jc w:val="both"/>
      </w:pPr>
      <w:r w:rsidRPr="00E81367">
        <w:t>Value for money – 5%</w:t>
      </w:r>
    </w:p>
    <w:p w14:paraId="31A24E3C" w14:textId="4E446B4F" w:rsidR="00E81367" w:rsidRPr="00E81367" w:rsidRDefault="00E81367" w:rsidP="00D77D15">
      <w:pPr>
        <w:jc w:val="both"/>
      </w:pPr>
    </w:p>
    <w:p w14:paraId="575128BB" w14:textId="77777777" w:rsidR="00E81367" w:rsidRPr="00E81367" w:rsidRDefault="00E81367" w:rsidP="00D77D15">
      <w:pPr>
        <w:jc w:val="both"/>
      </w:pPr>
      <w:r w:rsidRPr="00E81367">
        <w:t>All costs incurred in preparing and submitting a tender shall be borne by the tenderer.</w:t>
      </w:r>
    </w:p>
    <w:p w14:paraId="06A54E8C" w14:textId="4DF6EFDC" w:rsidR="00E81367" w:rsidRDefault="00E81367" w:rsidP="00D77D15">
      <w:pPr>
        <w:jc w:val="both"/>
      </w:pPr>
      <w:r w:rsidRPr="00E81367">
        <w:t>Tenderers must declare any actual or potential conflicts of interest.</w:t>
      </w:r>
    </w:p>
    <w:p w14:paraId="2AB89EF0" w14:textId="77777777" w:rsidR="00E21B0A" w:rsidRDefault="00E21B0A"/>
    <w:p w14:paraId="717B9AF7" w14:textId="77777777" w:rsidR="00E21B0A" w:rsidRDefault="00E21B0A"/>
    <w:p w14:paraId="29B101D1" w14:textId="77777777" w:rsidR="00E21B0A" w:rsidRDefault="00E21B0A"/>
    <w:p w14:paraId="2EF5D3E8" w14:textId="77777777" w:rsidR="00E21B0A" w:rsidRDefault="00E21B0A"/>
    <w:p w14:paraId="52628D0D" w14:textId="77777777" w:rsidR="00E21B0A" w:rsidRDefault="00E21B0A"/>
    <w:p w14:paraId="4538E303" w14:textId="77777777" w:rsidR="00E21B0A" w:rsidRDefault="00E21B0A"/>
    <w:p w14:paraId="1E6EB48F" w14:textId="77777777" w:rsidR="00E21B0A" w:rsidRDefault="00E21B0A"/>
    <w:p w14:paraId="74328D04" w14:textId="77777777" w:rsidR="00E21B0A" w:rsidRDefault="00E21B0A"/>
    <w:p w14:paraId="3288405F" w14:textId="77777777" w:rsidR="00E21B0A" w:rsidRDefault="00E21B0A"/>
    <w:p w14:paraId="7B6743C6" w14:textId="77777777" w:rsidR="00E21B0A" w:rsidRDefault="00E21B0A"/>
    <w:p w14:paraId="696086A8" w14:textId="77777777" w:rsidR="00E21B0A" w:rsidRDefault="00E21B0A"/>
    <w:p w14:paraId="6F19DD82" w14:textId="77777777" w:rsidR="000A0AE0" w:rsidRDefault="000A0AE0"/>
    <w:p w14:paraId="3F18A560" w14:textId="77777777" w:rsidR="00E21B0A" w:rsidRDefault="00E21B0A" w:rsidP="00E21B0A">
      <w:pPr>
        <w:pStyle w:val="NoSpacing"/>
        <w:rPr>
          <w:rFonts w:ascii="Cambria" w:hAnsi="Cambria"/>
          <w:color w:val="173A59"/>
          <w:sz w:val="20"/>
          <w:szCs w:val="20"/>
        </w:rPr>
      </w:pPr>
    </w:p>
    <w:p w14:paraId="2F8D2BFE" w14:textId="77777777" w:rsidR="00E21B0A" w:rsidRDefault="00E21B0A" w:rsidP="00E21B0A">
      <w:pPr>
        <w:pStyle w:val="NoSpacing"/>
        <w:rPr>
          <w:rFonts w:ascii="Cambria" w:hAnsi="Cambria"/>
          <w:color w:val="173A59"/>
          <w:sz w:val="20"/>
          <w:szCs w:val="20"/>
        </w:rPr>
      </w:pPr>
    </w:p>
    <w:p w14:paraId="55DD7A20" w14:textId="77777777" w:rsidR="00E21B0A" w:rsidRDefault="00E21B0A" w:rsidP="00E21B0A">
      <w:pPr>
        <w:pStyle w:val="NoSpacing"/>
        <w:rPr>
          <w:rFonts w:ascii="Cambria" w:hAnsi="Cambria"/>
          <w:color w:val="173A59"/>
          <w:sz w:val="20"/>
          <w:szCs w:val="20"/>
        </w:rPr>
      </w:pPr>
    </w:p>
    <w:p w14:paraId="2CA30913" w14:textId="77777777" w:rsidR="00E21B0A" w:rsidRDefault="00E21B0A" w:rsidP="00E21B0A">
      <w:pPr>
        <w:pStyle w:val="NoSpacing"/>
        <w:rPr>
          <w:rFonts w:ascii="Cambria" w:hAnsi="Cambria"/>
          <w:color w:val="173A59"/>
          <w:sz w:val="20"/>
          <w:szCs w:val="20"/>
          <w:lang w:eastAsia="en-GB"/>
        </w:rPr>
      </w:pPr>
    </w:p>
    <w:p w14:paraId="059FE384" w14:textId="77777777" w:rsidR="00E21B0A" w:rsidRDefault="00E21B0A" w:rsidP="00E21B0A">
      <w:pPr>
        <w:pStyle w:val="NoSpacing"/>
        <w:rPr>
          <w:rFonts w:ascii="Tahoma" w:eastAsia="Times New Roman" w:hAnsi="Tahoma" w:cs="Tahoma"/>
          <w:sz w:val="24"/>
          <w:szCs w:val="24"/>
          <w:lang w:eastAsia="en-GB"/>
        </w:rPr>
      </w:pPr>
    </w:p>
    <w:p w14:paraId="61E7E89D" w14:textId="77777777" w:rsidR="00E21B0A" w:rsidRDefault="00E21B0A" w:rsidP="00E21B0A">
      <w:pPr>
        <w:pStyle w:val="NoSpacing"/>
        <w:rPr>
          <w:rFonts w:ascii="Tahoma" w:eastAsia="Times New Roman" w:hAnsi="Tahoma" w:cs="Tahoma"/>
          <w:sz w:val="24"/>
          <w:szCs w:val="24"/>
          <w:lang w:eastAsia="en-GB"/>
        </w:rPr>
      </w:pPr>
    </w:p>
    <w:p w14:paraId="4C7EFF65" w14:textId="589B0C00" w:rsidR="00E21B0A" w:rsidRDefault="00E21B0A" w:rsidP="00E21B0A">
      <w:r>
        <w:rPr>
          <w:rFonts w:ascii="Cambria" w:hAnsi="Cambria"/>
          <w:noProof/>
          <w:color w:val="173A59"/>
          <w:lang w:eastAsia="en-GB"/>
        </w:rPr>
        <w:drawing>
          <wp:inline distT="0" distB="0" distL="0" distR="0" wp14:anchorId="0AF6EB91" wp14:editId="3DB7DD30">
            <wp:extent cx="1974215" cy="78295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173A59"/>
        </w:rPr>
        <w:tab/>
      </w:r>
      <w:r>
        <w:rPr>
          <w:rFonts w:ascii="Cambria" w:hAnsi="Cambria"/>
          <w:color w:val="173A59"/>
        </w:rPr>
        <w:tab/>
      </w:r>
      <w:r>
        <w:rPr>
          <w:rFonts w:ascii="Cambria" w:hAnsi="Cambria"/>
          <w:noProof/>
          <w:color w:val="173A59"/>
          <w:lang w:eastAsia="en-GB"/>
        </w:rPr>
        <w:drawing>
          <wp:inline distT="0" distB="0" distL="0" distR="0" wp14:anchorId="5583EF6D" wp14:editId="41851BD6">
            <wp:extent cx="2881746" cy="6305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54" cy="633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1B0A" w:rsidSect="00E21B0A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CCF"/>
    <w:multiLevelType w:val="multilevel"/>
    <w:tmpl w:val="FC6C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06247"/>
    <w:multiLevelType w:val="multilevel"/>
    <w:tmpl w:val="343C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44D18"/>
    <w:multiLevelType w:val="multilevel"/>
    <w:tmpl w:val="B900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47048"/>
    <w:multiLevelType w:val="multilevel"/>
    <w:tmpl w:val="77A2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D65B7"/>
    <w:multiLevelType w:val="multilevel"/>
    <w:tmpl w:val="F284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358D4"/>
    <w:multiLevelType w:val="multilevel"/>
    <w:tmpl w:val="206E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5862A4"/>
    <w:multiLevelType w:val="multilevel"/>
    <w:tmpl w:val="DE3A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9A1B51"/>
    <w:multiLevelType w:val="multilevel"/>
    <w:tmpl w:val="59FC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FD665F"/>
    <w:multiLevelType w:val="multilevel"/>
    <w:tmpl w:val="203A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529C2"/>
    <w:multiLevelType w:val="multilevel"/>
    <w:tmpl w:val="4110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6C1871"/>
    <w:multiLevelType w:val="multilevel"/>
    <w:tmpl w:val="A55A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15602A"/>
    <w:multiLevelType w:val="multilevel"/>
    <w:tmpl w:val="C928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909078">
    <w:abstractNumId w:val="9"/>
  </w:num>
  <w:num w:numId="2" w16cid:durableId="22052241">
    <w:abstractNumId w:val="1"/>
  </w:num>
  <w:num w:numId="3" w16cid:durableId="1538619263">
    <w:abstractNumId w:val="11"/>
  </w:num>
  <w:num w:numId="4" w16cid:durableId="559049827">
    <w:abstractNumId w:val="0"/>
  </w:num>
  <w:num w:numId="5" w16cid:durableId="1511024344">
    <w:abstractNumId w:val="7"/>
  </w:num>
  <w:num w:numId="6" w16cid:durableId="174150476">
    <w:abstractNumId w:val="5"/>
  </w:num>
  <w:num w:numId="7" w16cid:durableId="627203455">
    <w:abstractNumId w:val="6"/>
  </w:num>
  <w:num w:numId="8" w16cid:durableId="1384065525">
    <w:abstractNumId w:val="3"/>
  </w:num>
  <w:num w:numId="9" w16cid:durableId="547837609">
    <w:abstractNumId w:val="10"/>
  </w:num>
  <w:num w:numId="10" w16cid:durableId="401567245">
    <w:abstractNumId w:val="8"/>
  </w:num>
  <w:num w:numId="11" w16cid:durableId="369645347">
    <w:abstractNumId w:val="4"/>
  </w:num>
  <w:num w:numId="12" w16cid:durableId="1691832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67"/>
    <w:rsid w:val="000A0AE0"/>
    <w:rsid w:val="002B6F3C"/>
    <w:rsid w:val="00374AC4"/>
    <w:rsid w:val="003A2EE4"/>
    <w:rsid w:val="007B7FD6"/>
    <w:rsid w:val="00A85B16"/>
    <w:rsid w:val="00B52F4D"/>
    <w:rsid w:val="00D77D15"/>
    <w:rsid w:val="00D77FEB"/>
    <w:rsid w:val="00DC51E4"/>
    <w:rsid w:val="00E21B0A"/>
    <w:rsid w:val="00E8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B8BC5"/>
  <w15:chartTrackingRefBased/>
  <w15:docId w15:val="{6FE179DD-4302-49EF-9E9D-D8454BA9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3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13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36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21B0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yoursugovernance@sunderland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594</Words>
  <Characters>3845</Characters>
  <Application>Microsoft Office Word</Application>
  <DocSecurity>0</DocSecurity>
  <Lines>132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Harris</dc:creator>
  <cp:keywords/>
  <dc:description/>
  <cp:lastModifiedBy>Donna Thompson (USSU)</cp:lastModifiedBy>
  <cp:revision>4</cp:revision>
  <dcterms:created xsi:type="dcterms:W3CDTF">2026-01-28T16:25:00Z</dcterms:created>
  <dcterms:modified xsi:type="dcterms:W3CDTF">2026-01-28T16:27:00Z</dcterms:modified>
</cp:coreProperties>
</file>